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BF22" w14:textId="77777777" w:rsidR="00185453" w:rsidRDefault="00185453" w:rsidP="00185453">
      <w:pPr>
        <w:ind w:left="-426" w:right="-232"/>
        <w:jc w:val="both"/>
        <w:rPr>
          <w:rFonts w:ascii="Century Gothic" w:eastAsia="Times New Roman" w:hAnsi="Century Gothic" w:cs="Arial"/>
          <w:b/>
          <w:kern w:val="0"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SEGUNDA ÉPOCA </w:t>
      </w:r>
    </w:p>
    <w:p w14:paraId="15374682" w14:textId="77777777" w:rsidR="00185453" w:rsidRDefault="00185453" w:rsidP="00185453">
      <w:pPr>
        <w:tabs>
          <w:tab w:val="left" w:pos="6946"/>
        </w:tabs>
        <w:ind w:left="-426" w:right="-232"/>
        <w:jc w:val="both"/>
        <w:rPr>
          <w:rFonts w:ascii="Century Gothic" w:eastAsia="Times New Roman" w:hAnsi="Century Gothic"/>
          <w:sz w:val="22"/>
          <w:szCs w:val="22"/>
          <w:lang w:eastAsia="ar-SA"/>
        </w:rPr>
      </w:pPr>
      <w:r>
        <w:rPr>
          <w:rFonts w:ascii="Century Gothic" w:eastAsia="Times New Roman" w:hAnsi="Century Gothic"/>
          <w:lang w:eastAsia="ar-SA"/>
        </w:rPr>
        <w:t>Número de Registro 8/15ORD/SS/JA</w:t>
      </w:r>
    </w:p>
    <w:p w14:paraId="0498A3D3" w14:textId="77777777" w:rsidR="00185453" w:rsidRDefault="00185453" w:rsidP="00185453">
      <w:pPr>
        <w:tabs>
          <w:tab w:val="left" w:pos="6946"/>
        </w:tabs>
        <w:ind w:left="-426" w:right="-232"/>
        <w:jc w:val="both"/>
        <w:rPr>
          <w:rFonts w:ascii="Century Gothic" w:eastAsia="Times New Roman" w:hAnsi="Century Gothic"/>
          <w:lang w:eastAsia="ar-SA"/>
        </w:rPr>
      </w:pPr>
      <w:r>
        <w:rPr>
          <w:rFonts w:ascii="Century Gothic" w:eastAsia="Times New Roman" w:hAnsi="Century Gothic"/>
          <w:lang w:eastAsia="ar-SA"/>
        </w:rPr>
        <w:t>Precedente</w:t>
      </w:r>
    </w:p>
    <w:p w14:paraId="6ED18AC6" w14:textId="77777777" w:rsidR="00185453" w:rsidRDefault="00185453" w:rsidP="00185453">
      <w:pPr>
        <w:tabs>
          <w:tab w:val="left" w:pos="6946"/>
        </w:tabs>
        <w:ind w:left="-426" w:right="-232"/>
        <w:jc w:val="both"/>
        <w:rPr>
          <w:rFonts w:ascii="Century Gothic" w:eastAsia="Times New Roman" w:hAnsi="Century Gothic"/>
          <w:lang w:eastAsia="ar-SA"/>
        </w:rPr>
      </w:pPr>
      <w:r>
        <w:rPr>
          <w:rFonts w:ascii="Century Gothic" w:eastAsia="Times New Roman" w:hAnsi="Century Gothic"/>
          <w:lang w:eastAsia="ar-SA"/>
        </w:rPr>
        <w:t>Tomo I 2022</w:t>
      </w:r>
    </w:p>
    <w:p w14:paraId="77C5C5D0" w14:textId="77777777" w:rsidR="00185453" w:rsidRDefault="00185453" w:rsidP="00185453">
      <w:pPr>
        <w:tabs>
          <w:tab w:val="left" w:pos="7938"/>
        </w:tabs>
        <w:ind w:left="-567" w:right="-374"/>
        <w:jc w:val="both"/>
      </w:pPr>
    </w:p>
    <w:p w14:paraId="7942AE60" w14:textId="77777777" w:rsidR="00185453" w:rsidRDefault="00185453" w:rsidP="00185453">
      <w:pPr>
        <w:tabs>
          <w:tab w:val="left" w:pos="9214"/>
        </w:tabs>
        <w:ind w:left="-567" w:right="-374"/>
        <w:jc w:val="both"/>
      </w:pPr>
    </w:p>
    <w:p w14:paraId="0E2895C9" w14:textId="77777777" w:rsidR="00185453" w:rsidRPr="00A57993" w:rsidRDefault="00185453" w:rsidP="00185453">
      <w:pPr>
        <w:widowControl/>
        <w:tabs>
          <w:tab w:val="left" w:pos="9214"/>
        </w:tabs>
        <w:suppressAutoHyphens w:val="0"/>
        <w:spacing w:line="360" w:lineRule="auto"/>
        <w:ind w:right="618"/>
        <w:jc w:val="right"/>
        <w:rPr>
          <w:rFonts w:ascii="Century Gothic" w:eastAsia="Times New Roman" w:hAnsi="Century Gothic"/>
          <w:b/>
          <w:kern w:val="0"/>
          <w:lang w:eastAsia="es-ES"/>
        </w:rPr>
      </w:pPr>
      <w:r w:rsidRPr="00A57993">
        <w:rPr>
          <w:rFonts w:ascii="Century Gothic" w:eastAsia="Times New Roman" w:hAnsi="Century Gothic"/>
          <w:b/>
          <w:kern w:val="0"/>
          <w:lang w:eastAsia="es-ES"/>
        </w:rPr>
        <w:t>Ley de Justicia Administrativa del Estado de Jalisco</w:t>
      </w:r>
    </w:p>
    <w:p w14:paraId="4606EBB4" w14:textId="77777777" w:rsidR="00185453" w:rsidRDefault="00185453" w:rsidP="00185453">
      <w:pPr>
        <w:tabs>
          <w:tab w:val="left" w:pos="9214"/>
        </w:tabs>
        <w:spacing w:line="360" w:lineRule="auto"/>
        <w:ind w:left="567" w:right="900"/>
        <w:jc w:val="both"/>
        <w:rPr>
          <w:rFonts w:ascii="Century Gothic" w:hAnsi="Century Gothic"/>
        </w:rPr>
      </w:pPr>
    </w:p>
    <w:p w14:paraId="128D2E43" w14:textId="77777777" w:rsidR="00185453" w:rsidRDefault="00185453" w:rsidP="00185453">
      <w:pPr>
        <w:tabs>
          <w:tab w:val="left" w:pos="9214"/>
        </w:tabs>
        <w:ind w:right="51"/>
        <w:jc w:val="both"/>
        <w:rPr>
          <w:rFonts w:ascii="Century Gothic" w:hAnsi="Century Gothic"/>
          <w:b/>
        </w:rPr>
      </w:pPr>
    </w:p>
    <w:p w14:paraId="4D3479F6" w14:textId="77777777" w:rsidR="00185453" w:rsidRPr="006F29A8" w:rsidRDefault="00185453" w:rsidP="00185453">
      <w:pPr>
        <w:tabs>
          <w:tab w:val="left" w:pos="9214"/>
        </w:tabs>
        <w:ind w:right="51"/>
        <w:jc w:val="both"/>
        <w:rPr>
          <w:rFonts w:ascii="Century Gothic" w:eastAsia="Times New Roman" w:hAnsi="Century Gothic"/>
          <w:kern w:val="0"/>
          <w:lang w:val="es-ES" w:eastAsia="es-ES"/>
        </w:rPr>
      </w:pPr>
      <w:r>
        <w:rPr>
          <w:rFonts w:ascii="Century Gothic" w:hAnsi="Century Gothic"/>
          <w:b/>
        </w:rPr>
        <w:t xml:space="preserve">SUSPENSIÓN PROVISIONAL, ES IMPROCEDENTE EL RECURSO DE RECLAMACIÓN EN CONTRA DEL ACUERDO QUE LA NIEGA. </w:t>
      </w:r>
      <w:r w:rsidRPr="006F29A8">
        <w:rPr>
          <w:rFonts w:ascii="Century Gothic" w:hAnsi="Century Gothic"/>
        </w:rPr>
        <w:t xml:space="preserve">El artículo 89 fracción IV, de la Ley de Justicia Administrativa del Estado de Jalisco, establece que el recurso de reclamación podrá interponerse en contra de las resoluciones, que concedan o nieguen el otorgamiento de la suspensión o medidas cautelares de manera definitiva del acto o resolución impugnada, o contra las que fijen las garantías relativas a estas. En ese sentido, </w:t>
      </w:r>
      <w:r>
        <w:rPr>
          <w:rFonts w:ascii="Century Gothic" w:hAnsi="Century Gothic"/>
        </w:rPr>
        <w:t xml:space="preserve">resulta irrecurrible </w:t>
      </w:r>
      <w:r w:rsidRPr="006F29A8">
        <w:rPr>
          <w:rFonts w:ascii="Century Gothic" w:eastAsia="Times New Roman" w:hAnsi="Century Gothic"/>
          <w:kern w:val="0"/>
          <w:lang w:val="es-ES" w:eastAsia="es-ES"/>
        </w:rPr>
        <w:t>el acuerdo que niega la suspensión o las medidas cautelares de forma provisional,</w:t>
      </w:r>
      <w:r>
        <w:rPr>
          <w:rFonts w:ascii="Century Gothic" w:eastAsia="Times New Roman" w:hAnsi="Century Gothic"/>
          <w:kern w:val="0"/>
          <w:lang w:val="es-ES" w:eastAsia="es-ES"/>
        </w:rPr>
        <w:t xml:space="preserve"> dado que </w:t>
      </w:r>
      <w:r w:rsidRPr="006F29A8">
        <w:rPr>
          <w:rFonts w:ascii="Century Gothic" w:eastAsia="Times New Roman" w:hAnsi="Century Gothic"/>
          <w:kern w:val="0"/>
          <w:lang w:val="es-ES" w:eastAsia="es-ES"/>
        </w:rPr>
        <w:t>no actualiza</w:t>
      </w:r>
      <w:r>
        <w:rPr>
          <w:rFonts w:ascii="Century Gothic" w:eastAsia="Times New Roman" w:hAnsi="Century Gothic"/>
          <w:kern w:val="0"/>
          <w:lang w:val="es-ES" w:eastAsia="es-ES"/>
        </w:rPr>
        <w:t xml:space="preserve"> alguno de</w:t>
      </w:r>
      <w:r w:rsidRPr="006F29A8">
        <w:rPr>
          <w:rFonts w:ascii="Century Gothic" w:eastAsia="Times New Roman" w:hAnsi="Century Gothic"/>
          <w:kern w:val="0"/>
          <w:lang w:val="es-ES" w:eastAsia="es-ES"/>
        </w:rPr>
        <w:t xml:space="preserve"> los supuestos de procedencia del recurso de reclamación establecidos en </w:t>
      </w:r>
      <w:r>
        <w:rPr>
          <w:rFonts w:ascii="Century Gothic" w:eastAsia="Times New Roman" w:hAnsi="Century Gothic"/>
          <w:kern w:val="0"/>
          <w:lang w:val="es-ES" w:eastAsia="es-ES"/>
        </w:rPr>
        <w:t xml:space="preserve">el referido </w:t>
      </w:r>
      <w:r w:rsidRPr="006F29A8">
        <w:rPr>
          <w:rFonts w:ascii="Century Gothic" w:eastAsia="Times New Roman" w:hAnsi="Century Gothic"/>
          <w:kern w:val="0"/>
          <w:lang w:val="es-ES" w:eastAsia="es-ES"/>
        </w:rPr>
        <w:t>artículo.</w:t>
      </w:r>
    </w:p>
    <w:p w14:paraId="71379FFD" w14:textId="77777777" w:rsidR="00185453" w:rsidRDefault="00185453" w:rsidP="00185453">
      <w:pPr>
        <w:tabs>
          <w:tab w:val="left" w:pos="9214"/>
        </w:tabs>
        <w:ind w:left="567" w:right="51"/>
        <w:jc w:val="both"/>
        <w:rPr>
          <w:rFonts w:ascii="Century Gothic" w:hAnsi="Century Gothic"/>
        </w:rPr>
      </w:pPr>
    </w:p>
    <w:p w14:paraId="7E01B401" w14:textId="77777777" w:rsidR="00185453" w:rsidRPr="00A57993" w:rsidRDefault="00185453" w:rsidP="00185453">
      <w:pPr>
        <w:widowControl/>
        <w:tabs>
          <w:tab w:val="left" w:pos="9214"/>
        </w:tabs>
        <w:suppressAutoHyphens w:val="0"/>
        <w:ind w:right="51"/>
        <w:jc w:val="both"/>
        <w:rPr>
          <w:rFonts w:ascii="Century Gothic" w:eastAsia="Times New Roman" w:hAnsi="Century Gothic"/>
          <w:kern w:val="0"/>
          <w:lang w:eastAsia="es-ES"/>
        </w:rPr>
      </w:pPr>
    </w:p>
    <w:p w14:paraId="22637763" w14:textId="77777777" w:rsidR="00185453" w:rsidRPr="00DD6817" w:rsidRDefault="00185453" w:rsidP="00185453">
      <w:pPr>
        <w:widowControl/>
        <w:tabs>
          <w:tab w:val="left" w:pos="9214"/>
        </w:tabs>
        <w:suppressAutoHyphens w:val="0"/>
        <w:ind w:right="51"/>
        <w:jc w:val="both"/>
        <w:rPr>
          <w:rFonts w:ascii="Century Gothic" w:eastAsia="Times New Roman" w:hAnsi="Century Gothic"/>
          <w:kern w:val="0"/>
          <w:lang w:val="es-ES" w:eastAsia="es-ES"/>
        </w:rPr>
      </w:pPr>
      <w:r w:rsidRPr="00A57993">
        <w:rPr>
          <w:rFonts w:ascii="Century Gothic" w:eastAsia="Times New Roman" w:hAnsi="Century Gothic"/>
          <w:kern w:val="0"/>
          <w:lang w:val="es-ES" w:eastAsia="es-ES"/>
        </w:rPr>
        <w:t>Recurso de Reclamación 7</w:t>
      </w:r>
      <w:r>
        <w:rPr>
          <w:rFonts w:ascii="Century Gothic" w:eastAsia="Times New Roman" w:hAnsi="Century Gothic"/>
          <w:kern w:val="0"/>
          <w:lang w:val="es-ES" w:eastAsia="es-ES"/>
        </w:rPr>
        <w:t>60</w:t>
      </w:r>
      <w:r w:rsidRPr="00A57993">
        <w:rPr>
          <w:rFonts w:ascii="Century Gothic" w:eastAsia="Times New Roman" w:hAnsi="Century Gothic"/>
          <w:kern w:val="0"/>
          <w:lang w:val="es-ES" w:eastAsia="es-ES"/>
        </w:rPr>
        <w:t>/2022. Resuelto por la Sala Superior del Tribunal de Justicia Administrativa del Estado de Jalisco, en sesión de 11 de agosto de 2022, por unanimidad de votos. Magistrado Ponente: José Ramón Jiménez Gutiérrez. Secretario: Jacinto Rodríguez Macías.</w:t>
      </w:r>
    </w:p>
    <w:p w14:paraId="5CE7CF87" w14:textId="77777777" w:rsidR="00185453" w:rsidRDefault="00185453" w:rsidP="00185453">
      <w:pPr>
        <w:tabs>
          <w:tab w:val="left" w:pos="9214"/>
        </w:tabs>
        <w:spacing w:line="360" w:lineRule="auto"/>
        <w:ind w:left="567" w:right="51"/>
        <w:jc w:val="both"/>
        <w:rPr>
          <w:rFonts w:ascii="Century Gothic" w:hAnsi="Century Gothic"/>
        </w:rPr>
      </w:pPr>
    </w:p>
    <w:p w14:paraId="44116195" w14:textId="77777777" w:rsidR="00185453" w:rsidRDefault="00185453" w:rsidP="00185453">
      <w:pPr>
        <w:tabs>
          <w:tab w:val="left" w:pos="9214"/>
        </w:tabs>
        <w:spacing w:line="360" w:lineRule="auto"/>
        <w:ind w:left="567" w:right="900"/>
        <w:jc w:val="both"/>
        <w:rPr>
          <w:rFonts w:ascii="Century Gothic" w:hAnsi="Century Gothic"/>
        </w:rPr>
      </w:pPr>
    </w:p>
    <w:p w14:paraId="26618921" w14:textId="77777777" w:rsidR="00063C82" w:rsidRDefault="00063C82"/>
    <w:sectPr w:rsidR="0006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53"/>
    <w:rsid w:val="00063C82"/>
    <w:rsid w:val="001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7BE5"/>
  <w15:chartTrackingRefBased/>
  <w15:docId w15:val="{B8C5485F-2864-453B-9BA5-82599E4F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Gaytan Padilla</dc:creator>
  <cp:keywords/>
  <dc:description/>
  <cp:lastModifiedBy>Rosalba Gaytan Padilla</cp:lastModifiedBy>
  <cp:revision>1</cp:revision>
  <dcterms:created xsi:type="dcterms:W3CDTF">2023-02-03T16:25:00Z</dcterms:created>
  <dcterms:modified xsi:type="dcterms:W3CDTF">2023-02-03T16:25:00Z</dcterms:modified>
</cp:coreProperties>
</file>